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03A7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proofErr w:type="spellStart"/>
      <w:r w:rsidRPr="009B719A">
        <w:rPr>
          <w:rFonts w:ascii="Times New Roman" w:hAnsi="Times New Roman"/>
          <w:szCs w:val="24"/>
        </w:rPr>
        <w:t>инициалы</w:t>
      </w:r>
      <w:proofErr w:type="gramStart"/>
      <w:r>
        <w:rPr>
          <w:rFonts w:ascii="Times New Roman" w:hAnsi="Times New Roman"/>
          <w:szCs w:val="24"/>
        </w:rPr>
        <w:t>,ф</w:t>
      </w:r>
      <w:proofErr w:type="gramEnd"/>
      <w:r>
        <w:rPr>
          <w:rFonts w:ascii="Times New Roman" w:hAnsi="Times New Roman"/>
          <w:szCs w:val="24"/>
        </w:rPr>
        <w:t>амилия</w:t>
      </w:r>
      <w:proofErr w:type="spellEnd"/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proofErr w:type="spellStart"/>
      <w:r w:rsidR="00770AF7">
        <w:rPr>
          <w:sz w:val="24"/>
          <w:szCs w:val="24"/>
          <w:u w:val="none"/>
        </w:rPr>
        <w:t>предпроверочного</w:t>
      </w:r>
      <w:proofErr w:type="spellEnd"/>
      <w:r w:rsidR="00770AF7">
        <w:rPr>
          <w:sz w:val="24"/>
          <w:szCs w:val="24"/>
          <w:u w:val="none"/>
        </w:rPr>
        <w:t xml:space="preserve"> анализа и истребования документов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770AF7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770AF7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287A76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3752A2" w:rsidRPr="003752A2">
        <w:rPr>
          <w:rFonts w:ascii="Times New Roman" w:hAnsi="Times New Roman" w:cs="Times New Roman"/>
          <w:b/>
          <w:szCs w:val="24"/>
        </w:rPr>
        <w:t>Регулирование налоговой деятельности</w:t>
      </w:r>
      <w:r w:rsidR="003752A2">
        <w:rPr>
          <w:rFonts w:ascii="Times New Roman" w:hAnsi="Times New Roman" w:cs="Times New Roman"/>
          <w:b/>
          <w:szCs w:val="24"/>
        </w:rPr>
        <w:t>.</w:t>
      </w:r>
    </w:p>
    <w:p w:rsidR="005121A2" w:rsidRPr="003752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515022877"/>
      <w:r w:rsidR="003752A2" w:rsidRPr="003752A2">
        <w:rPr>
          <w:rFonts w:ascii="Times New Roman" w:hAnsi="Times New Roman" w:cs="Times New Roman"/>
          <w:b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752A2" w:rsidRPr="003752A2">
        <w:rPr>
          <w:rFonts w:ascii="Times New Roman" w:hAnsi="Times New Roman" w:cs="Times New Roman"/>
          <w:b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93049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F93049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6.1. Наличие высшего образования, соответствующего направлению деятельности</w:t>
      </w:r>
      <w:r w:rsidR="00F714F7" w:rsidRPr="00F93049">
        <w:rPr>
          <w:rFonts w:ascii="Times New Roman" w:hAnsi="Times New Roman" w:cs="Times New Roman"/>
          <w:sz w:val="24"/>
          <w:szCs w:val="24"/>
        </w:rPr>
        <w:t>.</w:t>
      </w:r>
      <w:r w:rsidRPr="00F930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F93049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C352DF" w:rsidRPr="00F93049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6.3.</w:t>
      </w:r>
      <w:r w:rsidR="001623E8" w:rsidRPr="00F9304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93049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F93049">
        <w:rPr>
          <w:rFonts w:ascii="Times New Roman" w:hAnsi="Times New Roman" w:cs="Times New Roman"/>
          <w:sz w:val="24"/>
          <w:szCs w:val="24"/>
        </w:rPr>
        <w:t>знание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F93049">
        <w:rPr>
          <w:rFonts w:ascii="Times New Roman" w:hAnsi="Times New Roman" w:cs="Times New Roman"/>
          <w:sz w:val="24"/>
          <w:szCs w:val="24"/>
        </w:rPr>
        <w:t>знание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F93049">
        <w:rPr>
          <w:rFonts w:ascii="Times New Roman" w:hAnsi="Times New Roman" w:cs="Times New Roman"/>
          <w:sz w:val="24"/>
          <w:szCs w:val="24"/>
        </w:rPr>
        <w:t>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F93049">
        <w:rPr>
          <w:rFonts w:ascii="Times New Roman" w:hAnsi="Times New Roman" w:cs="Times New Roman"/>
          <w:sz w:val="24"/>
          <w:szCs w:val="24"/>
        </w:rPr>
        <w:t>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F93049">
        <w:rPr>
          <w:rFonts w:ascii="Times New Roman" w:hAnsi="Times New Roman" w:cs="Times New Roman"/>
          <w:sz w:val="24"/>
          <w:szCs w:val="24"/>
        </w:rPr>
        <w:t>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F93049">
        <w:rPr>
          <w:rFonts w:ascii="Times New Roman" w:hAnsi="Times New Roman" w:cs="Times New Roman"/>
          <w:sz w:val="24"/>
          <w:szCs w:val="24"/>
        </w:rPr>
        <w:t>ие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F93049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F93049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BB1B42" w:rsidRPr="00FF0F71" w:rsidRDefault="00C352DF" w:rsidP="00BB1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3049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bookmarkStart w:id="24" w:name="_GoBack"/>
      <w:bookmarkEnd w:id="24"/>
    </w:p>
    <w:p w:rsidR="00BB1B42" w:rsidRPr="003752A2" w:rsidRDefault="00FF0F71" w:rsidP="00BB1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29 октяб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ря 2014 г. № ММВ-7-3/558@</w:t>
      </w:r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«Об утверждении формы налоговой декларации по налогу на добавленную стоимость, порядка ее заполнения, а также </w:t>
      </w:r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формата представления налоговой декларации по налогу на добавленную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стоимость в электронной форме»;</w:t>
      </w:r>
    </w:p>
    <w:p w:rsidR="00BB1B42" w:rsidRPr="00FF0F71" w:rsidRDefault="00FF0F71" w:rsidP="00BB1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BB1B42" w:rsidRPr="00FF0F71" w:rsidRDefault="00FF0F71" w:rsidP="00FF0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приказ ФНС России от 19 октября 2016 г. № ММВ-7-3/572@</w:t>
      </w:r>
      <w:r w:rsidR="00BB1B42"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«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B1B42"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B1B42" w:rsidRPr="003752A2" w:rsidRDefault="00FF0F71" w:rsidP="00BB1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29 июля 1998 г. № 135-ФЗ «Об оценочной деятельности в Российской Федерации» (в части определения кадастровой стоимости имущества);</w:t>
      </w:r>
    </w:p>
    <w:p w:rsidR="00BB1B42" w:rsidRPr="003752A2" w:rsidRDefault="00FF0F71" w:rsidP="00BB1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9 декабря 2006 г. № 244-ФЗ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3039F" w:rsidRPr="003752A2" w:rsidRDefault="00FF0F71" w:rsidP="0073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13 июля 2015 г. № 218-ФЗ «О государственной регистрации недвижимости»;</w:t>
      </w:r>
    </w:p>
    <w:p w:rsidR="0073039F" w:rsidRPr="003752A2" w:rsidRDefault="00FF0F71" w:rsidP="0073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3 июля 2016 г. № 237-ФЗ «О государственной кадастровой оценке»;</w:t>
      </w:r>
    </w:p>
    <w:p w:rsidR="0073039F" w:rsidRPr="003752A2" w:rsidRDefault="00FF0F71" w:rsidP="0073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Федерации»;</w:t>
      </w:r>
    </w:p>
    <w:p w:rsidR="0073039F" w:rsidRPr="00FF0F71" w:rsidRDefault="00FF0F71" w:rsidP="00FF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МВД России от 24 ноября 2008 г. № 1001 «О порядке регистрации транспортных средств».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(Глава </w:t>
      </w:r>
      <w:r w:rsidR="00BB1B42" w:rsidRPr="00F93049">
        <w:rPr>
          <w:rFonts w:ascii="Times New Roman" w:hAnsi="Times New Roman"/>
          <w:sz w:val="24"/>
          <w:szCs w:val="24"/>
        </w:rPr>
        <w:t>X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BB1B42" w:rsidRPr="00F9304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B1B42" w:rsidRPr="00F93049">
        <w:rPr>
          <w:rFonts w:ascii="Times New Roman" w:hAnsi="Times New Roman"/>
          <w:sz w:val="24"/>
          <w:szCs w:val="24"/>
          <w:lang w:val="ru-RU"/>
        </w:rPr>
        <w:t>«Плата за землю и оценка земли»);</w:t>
      </w:r>
      <w:proofErr w:type="gramEnd"/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</w:t>
      </w:r>
      <w:proofErr w:type="gramEnd"/>
      <w:r w:rsidR="00BB1B42" w:rsidRPr="00F93049">
        <w:rPr>
          <w:rFonts w:ascii="Times New Roman" w:hAnsi="Times New Roman"/>
          <w:sz w:val="24"/>
          <w:szCs w:val="24"/>
          <w:lang w:val="ru-RU"/>
        </w:rPr>
        <w:t xml:space="preserve"> Глава 28. «Транспортный налог»; Глава 30. «Налог на имущество организаций»; Глава 31. «Земельный налог»; Глава 32. </w:t>
      </w:r>
      <w:proofErr w:type="gramStart"/>
      <w:r w:rsidR="00BB1B42" w:rsidRPr="00F93049">
        <w:rPr>
          <w:rFonts w:ascii="Times New Roman" w:hAnsi="Times New Roman"/>
          <w:sz w:val="24"/>
          <w:szCs w:val="24"/>
          <w:lang w:val="ru-RU"/>
        </w:rPr>
        <w:t>«Налог на имущество физических лиц»);</w:t>
      </w:r>
      <w:proofErr w:type="gramEnd"/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73039F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 сведений, предусмотренных статьей 85 Налогового кодекса Российской Федерации»;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Минфина Российской Федерации от 5 ноября 2009 г. № 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3039F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 ММВ-7-11/109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3039F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</w:t>
      </w:r>
      <w:r>
        <w:rPr>
          <w:rFonts w:ascii="Times New Roman" w:hAnsi="Times New Roman"/>
          <w:sz w:val="24"/>
          <w:szCs w:val="24"/>
          <w:lang w:val="ru-RU"/>
        </w:rPr>
        <w:t xml:space="preserve">-11/973@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12 ноября 2014 г. № ММВ-7-11/5</w:t>
      </w:r>
      <w:r>
        <w:rPr>
          <w:rFonts w:ascii="Times New Roman" w:hAnsi="Times New Roman"/>
          <w:sz w:val="24"/>
          <w:szCs w:val="24"/>
          <w:lang w:val="ru-RU"/>
        </w:rPr>
        <w:t>78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 xml:space="preserve">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73039F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26 ноября 2014 г. № ММВ-7-11/598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BB1B42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73039F" w:rsidRPr="003752A2" w:rsidRDefault="0073039F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039F" w:rsidRPr="003752A2" w:rsidRDefault="00BB1B42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7 сентября 2016 г. № ММВ-7-11/477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Pr="00F93049">
        <w:rPr>
          <w:rFonts w:ascii="Times New Roman" w:hAnsi="Times New Roman"/>
          <w:sz w:val="24"/>
          <w:szCs w:val="24"/>
          <w:lang w:val="ru-RU"/>
        </w:rPr>
        <w:t>Об утверждении формы налогового уведомления»;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5 декабря 2016 г. № ММВ-7-21/668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31 марта 2017 г. № ММВ-7-21/271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10 апреля 2017 г. № ММВ-7-21/302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10 мая 2017 г. № ММВ-7-21/347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 № ММВ-7-11/696@»;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15 ноября 2017 г. № ММВ-7-21/930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3039F" w:rsidRPr="00FF0F71" w:rsidRDefault="00FF0F71" w:rsidP="00FF0F71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14 ноября 2017 г. № ММВ-7-21/897@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</w:t>
      </w:r>
      <w:r>
        <w:rPr>
          <w:rFonts w:ascii="Times New Roman" w:hAnsi="Times New Roman"/>
          <w:sz w:val="24"/>
          <w:szCs w:val="24"/>
          <w:lang w:val="ru-RU"/>
        </w:rPr>
        <w:t>вой льготы в электронной форме»;</w:t>
      </w:r>
    </w:p>
    <w:p w:rsidR="0073039F" w:rsidRPr="003752A2" w:rsidRDefault="00FF0F71" w:rsidP="0073039F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13 августа 1997 г. № 1009 «Об утверждении </w:t>
      </w:r>
      <w:proofErr w:type="gramStart"/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 xml:space="preserve"> и их государственной регистрации»;</w:t>
      </w:r>
    </w:p>
    <w:p w:rsidR="0073039F" w:rsidRPr="003752A2" w:rsidRDefault="00FF0F71" w:rsidP="0073039F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BB1B42" w:rsidRPr="00FF0F71" w:rsidRDefault="00FF0F71" w:rsidP="00FF0F71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предпринимателей».</w:t>
      </w:r>
    </w:p>
    <w:p w:rsidR="00F93049" w:rsidRPr="00FF0F71" w:rsidRDefault="00FF0F71" w:rsidP="00F930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Российской Федерации от 14 ноября 2006 г. № 146н «Об утверждении формы налоговой декларации по акцизам на табачные изделия и Порядка ее заполнения»;</w:t>
      </w:r>
    </w:p>
    <w:p w:rsidR="00BB1B42" w:rsidRPr="00FF0F71" w:rsidRDefault="00FF0F71" w:rsidP="00FF0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12 января 2016 г. № ММВ-7-3/1@ 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инжекторных</w:t>
      </w:r>
      <w:proofErr w:type="spellEnd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) двигателей</w:t>
      </w:r>
      <w:proofErr w:type="gramEnd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прямогонный бензин, средние дистилляты, бензол, параксилол, </w:t>
      </w:r>
      <w:proofErr w:type="spellStart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ортоксилол</w:t>
      </w:r>
      <w:proofErr w:type="spellEnd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, авиационный керосин, природный газ, автомобили легковые и мотоциклы в электронной форме и порядка ее заполнения».</w:t>
      </w:r>
    </w:p>
    <w:p w:rsidR="00F93049" w:rsidRPr="003752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93049" w:rsidRPr="00FF0F71" w:rsidRDefault="00F93049" w:rsidP="00F930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3049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</w:t>
      </w:r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документы, подтверждающие право на освобождение от уплаты налога на добавленную стоимость;</w:t>
      </w:r>
      <w:bookmarkStart w:id="25" w:name="_Toc477362605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6" w:name="_Toc477362606"/>
      <w:bookmarkEnd w:id="25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Start w:id="27" w:name="_Toc477362607"/>
      <w:bookmarkEnd w:id="26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bookmarkEnd w:id="27"/>
      <w:r w:rsidRPr="00F93049">
        <w:rPr>
          <w:rFonts w:ascii="Times New Roman" w:hAnsi="Times New Roman" w:cs="Times New Roman"/>
          <w:sz w:val="24"/>
          <w:szCs w:val="24"/>
        </w:rPr>
        <w:t>;</w:t>
      </w:r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налогоплательщиков налога на прибыль организаций;</w:t>
      </w:r>
      <w:proofErr w:type="gramEnd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участники консолидированной группы налогоплательщиков;</w:t>
      </w:r>
      <w:bookmarkStart w:id="28" w:name="_Toc477362609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налоговые резиденты Российской Федерации;</w:t>
      </w:r>
      <w:bookmarkStart w:id="29" w:name="_Toc477362610"/>
      <w:bookmarkEnd w:id="28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прибыли организации;</w:t>
      </w:r>
      <w:bookmarkStart w:id="30" w:name="_Toc477362611"/>
      <w:bookmarkEnd w:id="29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исключения исполнения обязанностей налогоплательщика организации;</w:t>
      </w:r>
      <w:bookmarkStart w:id="31" w:name="_Toc477362612"/>
      <w:bookmarkEnd w:id="30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определения доходов, понятия доходы от реализации, внереализационные доходы;</w:t>
      </w:r>
      <w:bookmarkEnd w:id="31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расходы и основные виды расходов при расчете налога на прибыль организации;</w:t>
      </w:r>
    </w:p>
    <w:p w:rsidR="00F93049" w:rsidRPr="00F93049" w:rsidRDefault="00F93049" w:rsidP="00FF0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2" w:name="_Toc477362613"/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амортизируемого имущества;</w:t>
      </w:r>
      <w:bookmarkEnd w:id="32"/>
      <w:r w:rsidR="00FF0F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</w:rPr>
        <w:t>основные методы и порядок расчета сумм амортизации;</w:t>
      </w:r>
    </w:p>
    <w:p w:rsidR="00F93049" w:rsidRPr="00F93049" w:rsidRDefault="00F93049" w:rsidP="00F93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и виды налога на имущество;</w:t>
      </w:r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bookmarkStart w:id="33" w:name="_Toc477362616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имущества, переданного в доверительное управление;</w:t>
      </w:r>
      <w:bookmarkStart w:id="34" w:name="_Toc477362617"/>
      <w:bookmarkEnd w:id="33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 при исполнении концессионных соглашений;</w:t>
      </w:r>
      <w:bookmarkStart w:id="35" w:name="_Toc477362618"/>
      <w:bookmarkEnd w:id="34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налоговый период, отчетный период;</w:t>
      </w:r>
      <w:bookmarkStart w:id="36" w:name="_Toc477362619"/>
      <w:bookmarkEnd w:id="35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налоговая ставка;</w:t>
      </w:r>
      <w:bookmarkStart w:id="37" w:name="_Toc477362620"/>
      <w:bookmarkEnd w:id="36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порядок применения налоговых льгот и исчисления суммы налога и сумм авансовых платежей по налогу;</w:t>
      </w:r>
      <w:bookmarkEnd w:id="37"/>
    </w:p>
    <w:p w:rsidR="00F93049" w:rsidRPr="00FF0F71" w:rsidRDefault="00F93049" w:rsidP="00FF0F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8" w:name="_Toc477362621"/>
      <w:proofErr w:type="gramStart"/>
      <w:r w:rsidRPr="00F93049">
        <w:rPr>
          <w:rFonts w:ascii="Times New Roman" w:hAnsi="Times New Roman" w:cs="Times New Roman"/>
          <w:sz w:val="24"/>
          <w:szCs w:val="24"/>
        </w:rPr>
        <w:t>порядок исчисления суммы налога и сумм авансовых платежей по налогу</w:t>
      </w:r>
      <w:bookmarkEnd w:id="38"/>
      <w:r w:rsidRPr="00F93049">
        <w:rPr>
          <w:rFonts w:ascii="Times New Roman" w:hAnsi="Times New Roman" w:cs="Times New Roman"/>
          <w:sz w:val="24"/>
          <w:szCs w:val="24"/>
        </w:rPr>
        <w:t>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bookmarkStart w:id="39" w:name="_Toc477362626"/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40" w:name="_Toc477362627"/>
      <w:bookmarkEnd w:id="39"/>
      <w:proofErr w:type="gramEnd"/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bookmarkStart w:id="41" w:name="_Toc477362628"/>
      <w:bookmarkEnd w:id="40"/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</w:t>
      </w:r>
      <w:bookmarkEnd w:id="41"/>
      <w:r w:rsidRPr="00F93049">
        <w:rPr>
          <w:rFonts w:ascii="Times New Roman" w:hAnsi="Times New Roman" w:cs="Times New Roman"/>
          <w:sz w:val="24"/>
          <w:szCs w:val="24"/>
        </w:rPr>
        <w:t>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/>
          <w:sz w:val="24"/>
          <w:szCs w:val="24"/>
        </w:rPr>
        <w:t>порядок обложения налогом на доходы физических лиц;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исчисления и уплаты налога на доходы физических лиц;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понятия налоговые акцизы, подакцизные товары</w:t>
      </w:r>
      <w:r w:rsidR="00FF0F7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194C94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194C94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194C94">
        <w:rPr>
          <w:rFonts w:ascii="Times New Roman" w:hAnsi="Times New Roman" w:cs="Times New Roman"/>
          <w:sz w:val="24"/>
          <w:szCs w:val="24"/>
        </w:rPr>
        <w:t xml:space="preserve"> </w:t>
      </w:r>
      <w:r w:rsidRPr="00194C94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194C94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</w:t>
      </w:r>
      <w:r w:rsidR="00F713C2" w:rsidRPr="00194C94">
        <w:rPr>
          <w:rFonts w:ascii="Times New Roman" w:hAnsi="Times New Roman"/>
          <w:sz w:val="24"/>
          <w:szCs w:val="24"/>
        </w:rPr>
        <w:t>имаемых по результатам проверки</w:t>
      </w:r>
      <w:r w:rsidRPr="00194C9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52DF" w:rsidRPr="00194C94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194C94">
        <w:rPr>
          <w:rFonts w:ascii="Times New Roman" w:hAnsi="Times New Roman"/>
          <w:sz w:val="24"/>
          <w:szCs w:val="24"/>
        </w:rPr>
        <w:t xml:space="preserve"> </w:t>
      </w:r>
      <w:r w:rsidRPr="00194C94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194C94">
        <w:rPr>
          <w:rFonts w:ascii="Times New Roman" w:hAnsi="Times New Roman"/>
          <w:sz w:val="24"/>
          <w:szCs w:val="24"/>
        </w:rPr>
        <w:t xml:space="preserve"> </w:t>
      </w:r>
      <w:r w:rsidRPr="00194C94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194C94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194C94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121A2" w:rsidRPr="00194C94">
        <w:rPr>
          <w:rFonts w:ascii="Times New Roman" w:hAnsi="Times New Roman" w:cs="Times New Roman"/>
        </w:rPr>
        <w:t xml:space="preserve">расчетно-экономическая деятельность в сфере </w:t>
      </w:r>
      <w:r w:rsidR="00F25A1B" w:rsidRPr="00194C94">
        <w:rPr>
          <w:rFonts w:ascii="Times New Roman" w:hAnsi="Times New Roman" w:cs="Times New Roman"/>
        </w:rPr>
        <w:t>налогового законодательства</w:t>
      </w:r>
      <w:r w:rsidR="005121A2" w:rsidRPr="00194C94">
        <w:rPr>
          <w:rFonts w:ascii="Times New Roman" w:hAnsi="Times New Roman" w:cs="Times New Roman"/>
        </w:rPr>
        <w:t>.</w:t>
      </w:r>
    </w:p>
    <w:p w:rsidR="00C352DF" w:rsidRPr="00194C94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F93049" w:rsidRPr="000C1371" w:rsidRDefault="00F93049" w:rsidP="000C1371">
      <w:pPr>
        <w:pStyle w:val="ConsPlusNormal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371">
        <w:rPr>
          <w:rFonts w:ascii="Times New Roman" w:eastAsia="Calibri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0C1371" w:rsidRPr="000C1371" w:rsidRDefault="00F93049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0C1371">
        <w:rPr>
          <w:rFonts w:ascii="Times New Roman" w:hAnsi="Times New Roman" w:cs="Times New Roman"/>
          <w:sz w:val="24"/>
          <w:szCs w:val="24"/>
          <w:lang w:eastAsia="ru-RU"/>
        </w:rPr>
        <w:t>расчет остаточной стоимости объектов амортизируемого имущества;</w:t>
      </w:r>
      <w:r w:rsidR="000C1371" w:rsidRPr="000C13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3049" w:rsidRPr="000C1371" w:rsidRDefault="00F93049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0C1371">
        <w:rPr>
          <w:rFonts w:ascii="Times New Roman" w:hAnsi="Times New Roman" w:cs="Times New Roman"/>
          <w:sz w:val="24"/>
          <w:szCs w:val="24"/>
          <w:lang w:eastAsia="ru-RU"/>
        </w:rPr>
        <w:t>расчет суммы амортизации</w:t>
      </w:r>
      <w:r w:rsidR="000C1371" w:rsidRPr="000C137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C1371" w:rsidRPr="000C1371" w:rsidRDefault="000C1371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расчет налога на имущество организаций;</w:t>
      </w:r>
    </w:p>
    <w:p w:rsidR="000C1371" w:rsidRPr="000C1371" w:rsidRDefault="000C1371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расчет налога на доходы физических лиц;</w:t>
      </w:r>
    </w:p>
    <w:p w:rsidR="000C1371" w:rsidRPr="000C1371" w:rsidRDefault="000C1371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5962C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962C4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EE064B">
        <w:rPr>
          <w:rFonts w:ascii="Times New Roman" w:hAnsi="Times New Roman" w:cs="Times New Roman"/>
          <w:sz w:val="24"/>
          <w:szCs w:val="24"/>
        </w:rPr>
        <w:t>анализирует показатели налоговой отчетности, в т. ч. в динамике;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</w:t>
      </w:r>
      <w:proofErr w:type="spellStart"/>
      <w:r w:rsidR="00DA5489" w:rsidRPr="00EE064B">
        <w:rPr>
          <w:rFonts w:ascii="Times New Roman" w:hAnsi="Times New Roman" w:cs="Times New Roman"/>
          <w:sz w:val="24"/>
          <w:szCs w:val="24"/>
        </w:rPr>
        <w:t>предпроверочных</w:t>
      </w:r>
      <w:proofErr w:type="spellEnd"/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EE064B">
        <w:rPr>
          <w:rFonts w:ascii="Times New Roman" w:hAnsi="Times New Roman" w:cs="Times New Roman"/>
          <w:sz w:val="24"/>
          <w:szCs w:val="24"/>
        </w:rPr>
        <w:t>проводит анализ показателей объектов налогообложения во взаимосвязи с производственными показателями налогоплательщиков;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EE064B">
        <w:rPr>
          <w:rFonts w:ascii="Times New Roman" w:hAnsi="Times New Roman" w:cs="Times New Roman"/>
          <w:sz w:val="24"/>
          <w:szCs w:val="24"/>
        </w:rPr>
        <w:t>проводит мониторинг показателей деятельности налогоплательщиков;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проводит анализ схем уклонения от налогообложения, вносит предложения по их предотвращению;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подготавливает информационные материалы для руководства инспекции по вопросам, находящимся в компетенции отдела;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осуществляет взаимодействие с другими налоговыми органами в рамках процедур истребования документов (информации) о налогоплательщике, плательщике сборов и налоговом агенте или информации о конкретных сделках, а также в целях осуществления </w:t>
      </w:r>
      <w:proofErr w:type="spellStart"/>
      <w:r w:rsidR="00DA5489" w:rsidRPr="00EE064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осуществляет взаимодействие с налогоплательщиками в рамках процедур истребования документов (информации) о налогоплательщике, плательщике сборов и налоговом агенте или информации о конкретных сделках, а также в целях осуществления </w:t>
      </w:r>
      <w:proofErr w:type="spellStart"/>
      <w:r w:rsidR="00DA5489" w:rsidRPr="00EE064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формирует запросы в банки о движении денежных средств на расчетных счетах.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составляет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:rsidR="00DA5489" w:rsidRPr="00EE064B" w:rsidRDefault="00CE36C8" w:rsidP="00EE064B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обеспечивает правильность и своевременность привлечения налогоплательщиков и иных лиц к ответственности за нарушения законодательства;</w:t>
      </w:r>
    </w:p>
    <w:p w:rsidR="00DA5489" w:rsidRPr="00EE064B" w:rsidRDefault="00CE36C8" w:rsidP="00EE064B">
      <w:pPr>
        <w:spacing w:after="0" w:line="240" w:lineRule="auto"/>
        <w:ind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подготавливает пакет документов при передаче налогоплательщика в другой налоговый орган;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обеспечивает наполняемость информационных ресурсов в системе ЭОД в части, относящейся к должностным обязанностям;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B573F7">
        <w:rPr>
          <w:rFonts w:ascii="Times New Roman" w:hAnsi="Times New Roman" w:cs="Times New Roman"/>
          <w:sz w:val="24"/>
          <w:szCs w:val="24"/>
        </w:rPr>
        <w:t xml:space="preserve"> составлять заключения в соответствии с </w:t>
      </w:r>
      <w:r w:rsidR="00B573F7" w:rsidRPr="00EE064B">
        <w:rPr>
          <w:rFonts w:ascii="Times New Roman" w:hAnsi="Times New Roman" w:cs="Times New Roman"/>
          <w:sz w:val="24"/>
          <w:szCs w:val="24"/>
        </w:rPr>
        <w:t>Рекомендациями по планированию и подготовке выездных налоговых проверок от 12.02.2018 №ЕД-5-2/307дсп@</w:t>
      </w:r>
      <w:r w:rsidR="00B573F7">
        <w:rPr>
          <w:rFonts w:ascii="Times New Roman" w:hAnsi="Times New Roman" w:cs="Times New Roman"/>
          <w:sz w:val="24"/>
          <w:szCs w:val="24"/>
        </w:rPr>
        <w:t xml:space="preserve"> и письмом ФНС России от 10.11.2011 №АС-5-2/1367дсп</w:t>
      </w:r>
      <w:r w:rsidR="00B573F7" w:rsidRPr="00B573F7">
        <w:rPr>
          <w:rFonts w:ascii="Times New Roman" w:hAnsi="Times New Roman" w:cs="Times New Roman"/>
          <w:sz w:val="24"/>
          <w:szCs w:val="24"/>
        </w:rPr>
        <w:t>@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осуществлять анализ  налоговых деклараций по НДС, журналов учета полученных и выставленных счетов-фактур для построения цепочки и выявления конечного выгодоприобретателя, с использованием программного комплекса АСК НДС 2;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осуществляет работу с информационными ресурсами, сопровождаемыми МИ ФНС России по ЦОД, к которым предоставляется удаленный доступ, в соответствии с </w:t>
      </w:r>
      <w:r w:rsidR="00EE064B" w:rsidRPr="00EE064B">
        <w:rPr>
          <w:rFonts w:ascii="Times New Roman" w:hAnsi="Times New Roman" w:cs="Times New Roman"/>
          <w:sz w:val="24"/>
          <w:szCs w:val="24"/>
        </w:rPr>
        <w:t xml:space="preserve">Рекомендациями по </w:t>
      </w:r>
      <w:r w:rsidRPr="00EE064B">
        <w:rPr>
          <w:rFonts w:ascii="Times New Roman" w:hAnsi="Times New Roman" w:cs="Times New Roman"/>
          <w:sz w:val="24"/>
          <w:szCs w:val="24"/>
        </w:rPr>
        <w:t>планировани</w:t>
      </w:r>
      <w:r w:rsidR="00EE064B" w:rsidRPr="00EE064B">
        <w:rPr>
          <w:rFonts w:ascii="Times New Roman" w:hAnsi="Times New Roman" w:cs="Times New Roman"/>
          <w:sz w:val="24"/>
          <w:szCs w:val="24"/>
        </w:rPr>
        <w:t>ю</w:t>
      </w:r>
      <w:r w:rsidRPr="00EE064B">
        <w:rPr>
          <w:rFonts w:ascii="Times New Roman" w:hAnsi="Times New Roman" w:cs="Times New Roman"/>
          <w:sz w:val="24"/>
          <w:szCs w:val="24"/>
        </w:rPr>
        <w:t xml:space="preserve"> и подготовк</w:t>
      </w:r>
      <w:r w:rsidR="00EE064B" w:rsidRPr="00EE064B">
        <w:rPr>
          <w:rFonts w:ascii="Times New Roman" w:hAnsi="Times New Roman" w:cs="Times New Roman"/>
          <w:sz w:val="24"/>
          <w:szCs w:val="24"/>
        </w:rPr>
        <w:t>е</w:t>
      </w:r>
      <w:r w:rsidRPr="00EE064B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 от </w:t>
      </w:r>
      <w:r w:rsidR="00EE064B" w:rsidRPr="00EE064B">
        <w:rPr>
          <w:rFonts w:ascii="Times New Roman" w:hAnsi="Times New Roman" w:cs="Times New Roman"/>
          <w:sz w:val="24"/>
          <w:szCs w:val="24"/>
        </w:rPr>
        <w:t>12.02.2018</w:t>
      </w:r>
      <w:r w:rsidRPr="00EE064B">
        <w:rPr>
          <w:rFonts w:ascii="Times New Roman" w:hAnsi="Times New Roman" w:cs="Times New Roman"/>
          <w:sz w:val="24"/>
          <w:szCs w:val="24"/>
        </w:rPr>
        <w:t xml:space="preserve"> №</w:t>
      </w:r>
      <w:r w:rsidR="00EE064B" w:rsidRPr="00EE064B">
        <w:rPr>
          <w:rFonts w:ascii="Times New Roman" w:hAnsi="Times New Roman" w:cs="Times New Roman"/>
          <w:sz w:val="24"/>
          <w:szCs w:val="24"/>
        </w:rPr>
        <w:t>ЕД-5-2/307дсп@: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«Отчеты»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«Поиск сведений»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«Алкоголь»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«Банковские счета»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«Беларусь-обмен»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«Ведомость учета принятых и введенных деклараций»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«ЕГРН»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«ЕГРЮЛ (полные сведения)»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«ЕГРИП (полные сведения)»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«ЕГРЮЛ»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«Истребование документов»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«Контрольно-кассовая техника»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«НДС»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«Однодневки»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</w:t>
      </w:r>
      <w:proofErr w:type="spellStart"/>
      <w:r w:rsidRPr="00EE064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EE064B">
        <w:rPr>
          <w:rFonts w:ascii="Times New Roman" w:hAnsi="Times New Roman" w:cs="Times New Roman"/>
          <w:sz w:val="24"/>
          <w:szCs w:val="24"/>
        </w:rPr>
        <w:t xml:space="preserve"> анализ налогоплательщиков»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«Приостановление операций по счетам»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«Расчеты с бюджетом»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«Сведения о физических лицах»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ФИР «Справочник </w:t>
      </w:r>
      <w:proofErr w:type="gramStart"/>
      <w:r w:rsidRPr="00EE064B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EE064B">
        <w:rPr>
          <w:rFonts w:ascii="Times New Roman" w:hAnsi="Times New Roman" w:cs="Times New Roman"/>
          <w:sz w:val="24"/>
          <w:szCs w:val="24"/>
        </w:rPr>
        <w:t>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«Статистика»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«Таможня-Ф»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«Риски»</w:t>
      </w:r>
    </w:p>
    <w:p w:rsidR="00CE36C8" w:rsidRPr="00EE064B" w:rsidRDefault="00CE36C8" w:rsidP="00EE064B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«Банк-обмен»</w:t>
      </w:r>
    </w:p>
    <w:p w:rsidR="00CE36C8" w:rsidRPr="00EE064B" w:rsidRDefault="00CE36C8" w:rsidP="00EE064B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«Сведения из Банка России»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ПК ВАИ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ИР СПАРК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ИР ФИРА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lastRenderedPageBreak/>
        <w:t>5.2.22. Соблюдает требования Федерального Закона от 25.12.2008№273-ФЗ «О противодействии коррупции» и иных  нормативно правовых актов в указанной сфере.</w:t>
      </w:r>
    </w:p>
    <w:p w:rsidR="00CE36C8" w:rsidRPr="00EE064B" w:rsidRDefault="00CE36C8" w:rsidP="00EE06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ab/>
        <w:t>Исполняет должностные обязанности в соответствии с должностным регламентом.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</w:t>
      </w:r>
      <w:r w:rsidR="00255D09" w:rsidRPr="00DA5489">
        <w:rPr>
          <w:rFonts w:ascii="Times New Roman" w:hAnsi="Times New Roman" w:cs="Times New Roman"/>
          <w:sz w:val="24"/>
          <w:szCs w:val="24"/>
        </w:rPr>
        <w:t xml:space="preserve">на отдел </w:t>
      </w:r>
      <w:proofErr w:type="spellStart"/>
      <w:r w:rsidR="00770AF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770AF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</w:t>
      </w:r>
      <w:r w:rsidR="00635585" w:rsidRPr="00A14492">
        <w:rPr>
          <w:rFonts w:ascii="Times New Roman" w:hAnsi="Times New Roman" w:cs="Times New Roman"/>
          <w:sz w:val="24"/>
          <w:szCs w:val="24"/>
        </w:rPr>
        <w:lastRenderedPageBreak/>
        <w:t>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DA5489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DA5489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lastRenderedPageBreak/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FF0F71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E3E" w:rsidRDefault="00235E3E" w:rsidP="00FF0F71">
      <w:pPr>
        <w:spacing w:after="0" w:line="240" w:lineRule="auto"/>
      </w:pPr>
      <w:r>
        <w:separator/>
      </w:r>
    </w:p>
  </w:endnote>
  <w:endnote w:type="continuationSeparator" w:id="0">
    <w:p w:rsidR="00235E3E" w:rsidRDefault="00235E3E" w:rsidP="00FF0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E3E" w:rsidRDefault="00235E3E" w:rsidP="00FF0F71">
      <w:pPr>
        <w:spacing w:after="0" w:line="240" w:lineRule="auto"/>
      </w:pPr>
      <w:r>
        <w:separator/>
      </w:r>
    </w:p>
  </w:footnote>
  <w:footnote w:type="continuationSeparator" w:id="0">
    <w:p w:rsidR="00235E3E" w:rsidRDefault="00235E3E" w:rsidP="00FF0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51812"/>
    <w:multiLevelType w:val="hybridMultilevel"/>
    <w:tmpl w:val="3514CF94"/>
    <w:lvl w:ilvl="0" w:tplc="4F422B5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80559"/>
    <w:multiLevelType w:val="hybridMultilevel"/>
    <w:tmpl w:val="BF6C089C"/>
    <w:lvl w:ilvl="0" w:tplc="0108042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52C3E"/>
    <w:rsid w:val="000A19E6"/>
    <w:rsid w:val="000C1371"/>
    <w:rsid w:val="000D18A3"/>
    <w:rsid w:val="001623E8"/>
    <w:rsid w:val="00194C94"/>
    <w:rsid w:val="001D0BCF"/>
    <w:rsid w:val="00235E3E"/>
    <w:rsid w:val="00255D09"/>
    <w:rsid w:val="00287A76"/>
    <w:rsid w:val="002E10AB"/>
    <w:rsid w:val="002E3F9D"/>
    <w:rsid w:val="003752A2"/>
    <w:rsid w:val="00462438"/>
    <w:rsid w:val="004D7647"/>
    <w:rsid w:val="004E0B58"/>
    <w:rsid w:val="005121A2"/>
    <w:rsid w:val="00572F76"/>
    <w:rsid w:val="00575A75"/>
    <w:rsid w:val="005962C4"/>
    <w:rsid w:val="00635585"/>
    <w:rsid w:val="0073039F"/>
    <w:rsid w:val="00746460"/>
    <w:rsid w:val="00770AF7"/>
    <w:rsid w:val="007C5DD8"/>
    <w:rsid w:val="007F4119"/>
    <w:rsid w:val="00837539"/>
    <w:rsid w:val="00851278"/>
    <w:rsid w:val="00870429"/>
    <w:rsid w:val="008E7A4F"/>
    <w:rsid w:val="009667CB"/>
    <w:rsid w:val="00A01B6E"/>
    <w:rsid w:val="00A14492"/>
    <w:rsid w:val="00A8006F"/>
    <w:rsid w:val="00A932A5"/>
    <w:rsid w:val="00AD0AF2"/>
    <w:rsid w:val="00B42AF6"/>
    <w:rsid w:val="00B573F7"/>
    <w:rsid w:val="00BA7D15"/>
    <w:rsid w:val="00BB1B42"/>
    <w:rsid w:val="00C352DF"/>
    <w:rsid w:val="00C472BF"/>
    <w:rsid w:val="00C62C66"/>
    <w:rsid w:val="00C77125"/>
    <w:rsid w:val="00CE36C8"/>
    <w:rsid w:val="00DA5489"/>
    <w:rsid w:val="00EA45A7"/>
    <w:rsid w:val="00EC40D2"/>
    <w:rsid w:val="00ED050D"/>
    <w:rsid w:val="00EE064B"/>
    <w:rsid w:val="00F03A71"/>
    <w:rsid w:val="00F25A1B"/>
    <w:rsid w:val="00F713C2"/>
    <w:rsid w:val="00F714F7"/>
    <w:rsid w:val="00F93049"/>
    <w:rsid w:val="00FF0F71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No Spacing"/>
    <w:link w:val="a8"/>
    <w:uiPriority w:val="1"/>
    <w:qFormat/>
    <w:rsid w:val="00BB1B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B1B42"/>
    <w:rPr>
      <w:rFonts w:ascii="Calibri" w:eastAsia="Times New Roman" w:hAnsi="Calibri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0F71"/>
  </w:style>
  <w:style w:type="paragraph" w:styleId="ab">
    <w:name w:val="footer"/>
    <w:basedOn w:val="a"/>
    <w:link w:val="ac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No Spacing"/>
    <w:link w:val="a8"/>
    <w:uiPriority w:val="1"/>
    <w:qFormat/>
    <w:rsid w:val="00BB1B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B1B42"/>
    <w:rPr>
      <w:rFonts w:ascii="Calibri" w:eastAsia="Times New Roman" w:hAnsi="Calibri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0F71"/>
  </w:style>
  <w:style w:type="paragraph" w:styleId="ab">
    <w:name w:val="footer"/>
    <w:basedOn w:val="a"/>
    <w:link w:val="ac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4150</Words>
  <Characters>23657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39</vt:i4>
      </vt:variant>
    </vt:vector>
  </HeadingPairs>
  <TitlesOfParts>
    <vt:vector size="40" baseType="lpstr">
      <vt:lpstr/>
      <vt:lpstr/>
      <vt:lpstr>старшего государственного налогового инспектора </vt:lpstr>
      <vt:lpstr>отдела предпроверочного анализа и истребования документов</vt:lpstr>
      <vt:lpstr>Межрайонной ИФНС России №4 по Тамбовской области</vt:lpstr>
      <vt:lpstr/>
      <vt:lpstr>I. Общие положения</vt:lpstr>
      <vt:lpstr>        4. Назначение на должность и освобождение от должности старшего государственного</vt:lpstr>
      <vt:lpstr>    II. Квалификационные требования для замещения должности</vt:lpstr>
      <vt:lpstr>    III. Должностные обязанности, права и ответственность</vt:lpstr>
      <vt:lpstr>    IV. Перечень вопросов, по которым старший государственный налоговый инспектор вп</vt:lpstr>
      <vt:lpstr>    V. Перечень вопросов, по которым старший государственный налоговый инспектор впр</vt:lpstr>
      <vt:lpstr>    VI. Сроки и процедуры подготовки, рассмотрения</vt:lpstr>
      <vt:lpstr>    VII. Порядок служебного взаимодействия</vt:lpstr>
      <vt:lpstr>    VIII. Перечень государственных услуг, оказываемых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Лист ознакомления</vt:lpstr>
      <vt:lpstr/>
    </vt:vector>
  </TitlesOfParts>
  <Company/>
  <LinksUpToDate>false</LinksUpToDate>
  <CharactersWithSpaces>27752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32</cp:revision>
  <dcterms:created xsi:type="dcterms:W3CDTF">2017-10-16T06:17:00Z</dcterms:created>
  <dcterms:modified xsi:type="dcterms:W3CDTF">2018-06-13T13:38:00Z</dcterms:modified>
</cp:coreProperties>
</file>